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F10" w:rsidRDefault="00F071F3" w:rsidP="000F1F10">
      <w:pPr>
        <w:jc w:val="right"/>
        <w:rPr>
          <w:rFonts w:ascii="Times New Roman" w:hAnsi="Times New Roman" w:cs="Times New Roman"/>
          <w:b/>
          <w:bCs/>
          <w:sz w:val="28"/>
          <w:szCs w:val="28"/>
        </w:rPr>
      </w:pPr>
      <w:r>
        <w:rPr>
          <w:rFonts w:ascii="Times New Roman" w:hAnsi="Times New Roman" w:cs="Times New Roman"/>
          <w:b/>
          <w:bCs/>
          <w:sz w:val="28"/>
          <w:szCs w:val="28"/>
        </w:rPr>
        <w:t xml:space="preserve">Allegato </w:t>
      </w:r>
      <w:r w:rsidR="009C6A6F">
        <w:rPr>
          <w:rFonts w:ascii="Times New Roman" w:hAnsi="Times New Roman" w:cs="Times New Roman"/>
          <w:b/>
          <w:bCs/>
          <w:sz w:val="28"/>
          <w:szCs w:val="28"/>
        </w:rPr>
        <w:t>B</w:t>
      </w: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C747AB" w:rsidP="003E0177">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w:t>
      </w:r>
      <w:proofErr w:type="spellStart"/>
      <w:r>
        <w:rPr>
          <w:rFonts w:ascii="Times New Roman" w:hAnsi="Times New Roman" w:cs="Times New Roman"/>
          <w:b/>
          <w:bCs/>
          <w:sz w:val="28"/>
          <w:szCs w:val="28"/>
          <w:lang w:val="en-US"/>
        </w:rPr>
        <w:t>e</w:t>
      </w:r>
      <w:r w:rsidR="002B3E5D" w:rsidRPr="00B814B9">
        <w:rPr>
          <w:rFonts w:ascii="Times New Roman" w:hAnsi="Times New Roman" w:cs="Times New Roman"/>
          <w:b/>
          <w:bCs/>
          <w:sz w:val="28"/>
          <w:szCs w:val="28"/>
          <w:lang w:val="en-US"/>
        </w:rPr>
        <w:t>x art</w:t>
      </w:r>
      <w:proofErr w:type="spellEnd"/>
      <w:r w:rsidR="002B3E5D"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002B3E5D"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9C6A6F" w:rsidRDefault="00AD10DB" w:rsidP="00505413">
            <w:pPr>
              <w:jc w:val="both"/>
              <w:rPr>
                <w:rFonts w:ascii="Calibri" w:hAnsi="Calibri" w:cs="Calibri"/>
                <w:b/>
                <w:bCs/>
              </w:rPr>
            </w:pPr>
            <w:r w:rsidRPr="008321FF">
              <w:rPr>
                <w:rFonts w:ascii="Calibri" w:hAnsi="Calibri" w:cs="Calibri"/>
                <w:b/>
                <w:bCs/>
              </w:rPr>
              <w:t>Procedura negozia</w:t>
            </w:r>
            <w:r w:rsidR="009C6A6F">
              <w:rPr>
                <w:rFonts w:ascii="Calibri" w:hAnsi="Calibri" w:cs="Calibri"/>
                <w:b/>
                <w:bCs/>
              </w:rPr>
              <w:t>ta per l’affidamento dei lavori:</w:t>
            </w:r>
          </w:p>
          <w:p w:rsidR="00C747AB" w:rsidRPr="00F46D2E" w:rsidRDefault="00C747AB" w:rsidP="00C747AB">
            <w:pPr>
              <w:ind w:right="-1"/>
              <w:jc w:val="both"/>
              <w:rPr>
                <w:rFonts w:cstheme="minorHAnsi"/>
                <w:b/>
                <w:bCs/>
              </w:rPr>
            </w:pPr>
            <w:r>
              <w:rPr>
                <w:rFonts w:cstheme="minorHAnsi"/>
                <w:b/>
                <w:bCs/>
              </w:rPr>
              <w:t>“</w:t>
            </w:r>
            <w:r w:rsidRPr="00F46D2E">
              <w:rPr>
                <w:rFonts w:cstheme="minorHAnsi"/>
                <w:b/>
                <w:bCs/>
              </w:rPr>
              <w:t>Piano degli i</w:t>
            </w:r>
            <w:r w:rsidRPr="00F46D2E">
              <w:rPr>
                <w:rFonts w:cstheme="minorHAnsi"/>
                <w:b/>
                <w:bCs/>
                <w:color w:val="000000"/>
              </w:rPr>
              <w:t>nterventi di adeguamento tecnologico e di riqualificazione funzionale delle Strutture dell’ASL di Avellino</w:t>
            </w:r>
            <w:r w:rsidRPr="00F46D2E">
              <w:rPr>
                <w:rFonts w:cstheme="minorHAnsi"/>
                <w:b/>
                <w:bCs/>
              </w:rPr>
              <w:t xml:space="preserve">. </w:t>
            </w:r>
            <w:proofErr w:type="spellStart"/>
            <w:r w:rsidRPr="00F46D2E">
              <w:rPr>
                <w:rFonts w:cstheme="minorHAnsi"/>
                <w:b/>
                <w:bCs/>
              </w:rPr>
              <w:t>Int</w:t>
            </w:r>
            <w:proofErr w:type="spellEnd"/>
            <w:r w:rsidRPr="00F46D2E">
              <w:rPr>
                <w:rFonts w:cstheme="minorHAnsi"/>
                <w:b/>
                <w:bCs/>
              </w:rPr>
              <w:t>. n</w:t>
            </w:r>
            <w:r w:rsidRPr="00F46D2E">
              <w:rPr>
                <w:rFonts w:cstheme="minorHAnsi"/>
                <w:b/>
                <w:bCs/>
                <w:color w:val="000000"/>
              </w:rPr>
              <w:t xml:space="preserve">. </w:t>
            </w:r>
            <w:r w:rsidR="00201EC7">
              <w:rPr>
                <w:rFonts w:cstheme="minorHAnsi"/>
                <w:b/>
                <w:bCs/>
                <w:color w:val="000000"/>
              </w:rPr>
              <w:t>4</w:t>
            </w:r>
            <w:r w:rsidRPr="00F46D2E">
              <w:rPr>
                <w:rFonts w:cstheme="minorHAnsi"/>
                <w:b/>
                <w:bCs/>
                <w:color w:val="000000"/>
              </w:rPr>
              <w:t xml:space="preserve">: </w:t>
            </w:r>
            <w:r w:rsidR="00201EC7" w:rsidRPr="00BF7277">
              <w:rPr>
                <w:rFonts w:ascii="Calibri" w:hAnsi="Calibri" w:cs="Calibri"/>
                <w:b/>
                <w:color w:val="000000"/>
              </w:rPr>
              <w:t>“</w:t>
            </w:r>
            <w:r w:rsidR="00201EC7">
              <w:rPr>
                <w:rFonts w:ascii="Calibri" w:hAnsi="Calibri" w:cs="Calibri"/>
                <w:b/>
                <w:color w:val="000000"/>
              </w:rPr>
              <w:t>r</w:t>
            </w:r>
            <w:r w:rsidR="00201EC7" w:rsidRPr="00D2417D">
              <w:rPr>
                <w:rFonts w:ascii="Calibri" w:eastAsia="Times New Roman" w:hAnsi="Calibri" w:cs="Calibri"/>
                <w:b/>
                <w:color w:val="000000"/>
              </w:rPr>
              <w:t>ealizzazione spogliatoi del personale al livello -1 del P.O. di Ariano Irpino</w:t>
            </w:r>
            <w:r w:rsidR="00201EC7" w:rsidRPr="00BF7277">
              <w:rPr>
                <w:rFonts w:ascii="Calibri" w:hAnsi="Calibri" w:cs="Calibri"/>
                <w:b/>
                <w:color w:val="000000"/>
              </w:rPr>
              <w:t>”</w:t>
            </w:r>
          </w:p>
          <w:p w:rsidR="00400FCD" w:rsidRPr="00222892" w:rsidRDefault="00400FCD" w:rsidP="009C6A6F">
            <w:pPr>
              <w:jc w:val="both"/>
              <w:rPr>
                <w:rFonts w:ascii="Times New Roman" w:hAnsi="Times New Roman" w:cs="Times New Roman"/>
                <w:b/>
                <w:bCs/>
                <w:i/>
                <w:sz w:val="28"/>
                <w:szCs w:val="28"/>
              </w:rPr>
            </w:pPr>
          </w:p>
        </w:tc>
      </w:tr>
      <w:tr w:rsidR="005A113D" w:rsidRPr="00222892" w:rsidTr="00B814B9">
        <w:trPr>
          <w:trHeight w:val="401"/>
        </w:trPr>
        <w:tc>
          <w:tcPr>
            <w:tcW w:w="9373" w:type="dxa"/>
          </w:tcPr>
          <w:p w:rsidR="005A113D" w:rsidRPr="00222892" w:rsidRDefault="00C747AB" w:rsidP="00C747AB">
            <w:pPr>
              <w:jc w:val="both"/>
              <w:rPr>
                <w:rFonts w:ascii="Times New Roman" w:hAnsi="Times New Roman" w:cs="Times New Roman"/>
                <w:b/>
                <w:bCs/>
                <w:i/>
                <w:sz w:val="28"/>
                <w:szCs w:val="28"/>
              </w:rPr>
            </w:pPr>
            <w:r w:rsidRPr="00F46D2E">
              <w:rPr>
                <w:rFonts w:cstheme="minorHAnsi"/>
                <w:b/>
                <w:bCs/>
                <w:color w:val="000000"/>
              </w:rPr>
              <w:t xml:space="preserve">CUP: </w:t>
            </w:r>
            <w:r w:rsidRPr="00F46D2E">
              <w:rPr>
                <w:rFonts w:cstheme="minorHAnsi"/>
                <w:b/>
                <w:bCs/>
                <w:color w:val="000000"/>
                <w:lang w:eastAsia="zh-CN"/>
              </w:rPr>
              <w:t>H92C23000100002</w:t>
            </w:r>
            <w:r w:rsidRPr="00F46D2E">
              <w:rPr>
                <w:rStyle w:val="CharacterStyle2"/>
                <w:rFonts w:cstheme="minorHAnsi"/>
                <w:b/>
                <w:bCs/>
                <w:sz w:val="22"/>
                <w:szCs w:val="22"/>
              </w:rPr>
              <w:t xml:space="preserve"> – CIG: </w:t>
            </w:r>
            <w:r w:rsidRPr="00F46D2E">
              <w:rPr>
                <w:rStyle w:val="CharacterStyle2"/>
                <w:rFonts w:cstheme="minorHAnsi"/>
                <w:b/>
                <w:bCs/>
                <w:sz w:val="22"/>
                <w:szCs w:val="22"/>
                <w:highlight w:val="yellow"/>
              </w:rPr>
              <w:t>……………………</w:t>
            </w: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F6108E"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F6108E"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F6108E"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lastRenderedPageBreak/>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F6108E"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F6108E"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F6108E"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lastRenderedPageBreak/>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9C6A6F" w:rsidRPr="009C6A6F" w:rsidRDefault="009C6A6F" w:rsidP="009C6A6F">
      <w:pPr>
        <w:rPr>
          <w:rFonts w:ascii="Times New Roman" w:hAnsi="Times New Roman" w:cs="Times New Roman"/>
          <w:b/>
          <w:bCs/>
          <w:sz w:val="24"/>
          <w:szCs w:val="28"/>
        </w:rPr>
      </w:pPr>
    </w:p>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9C6A6F" w:rsidRDefault="006720E0" w:rsidP="009C6A6F">
      <w:pPr>
        <w:jc w:val="both"/>
        <w:rPr>
          <w:rFonts w:ascii="Times New Roman" w:hAnsi="Times New Roman" w:cs="Times New Roman"/>
          <w:b/>
          <w:bCs/>
          <w:sz w:val="28"/>
          <w:szCs w:val="28"/>
        </w:rPr>
      </w:pP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SULL’AFFIDAMENTO SULLE CAPACITÀ DI ALTRI SOGGETTI</w:t>
      </w: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F6108E"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9C6A6F" w:rsidRDefault="007545E9" w:rsidP="009C6A6F">
      <w:pPr>
        <w:rPr>
          <w:rFonts w:ascii="Times New Roman" w:hAnsi="Times New Roman" w:cs="Times New Roman"/>
          <w:b/>
          <w:bCs/>
          <w:sz w:val="28"/>
          <w:szCs w:val="28"/>
        </w:rPr>
      </w:pP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lastRenderedPageBreak/>
              <w:t>L’operatore economico intende subappaltare parte del contratto a terzi?</w:t>
            </w:r>
          </w:p>
        </w:tc>
        <w:tc>
          <w:tcPr>
            <w:tcW w:w="4814" w:type="dxa"/>
          </w:tcPr>
          <w:p w:rsidR="0096407A" w:rsidRPr="00222892" w:rsidRDefault="00F6108E"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Pr="009C6A6F" w:rsidRDefault="00383401" w:rsidP="009C6A6F">
      <w:pPr>
        <w:spacing w:after="0" w:line="240" w:lineRule="aut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F6108E"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F6108E"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Pr="009C6A6F" w:rsidRDefault="006F3484" w:rsidP="009C6A6F">
      <w:pPr>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F6108E"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9C6A6F" w:rsidRDefault="002B3E5D" w:rsidP="009C6A6F">
      <w:pPr>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F6108E"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F6108E"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F6108E"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F6108E"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F6108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F6108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F6108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F6108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F6108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F6108E"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F6108E"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11"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F6108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F6108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F6108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F6108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F6108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F6108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F6108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F6108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F6108E"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F6108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9C6A6F" w:rsidRDefault="00D40591" w:rsidP="009C6A6F">
      <w:pPr>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lastRenderedPageBreak/>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lastRenderedPageBreak/>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F6108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F6108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F6108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F6108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F6108E"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lastRenderedPageBreak/>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determinati</w:t>
            </w:r>
            <w:r w:rsidR="00201EC7">
              <w:rPr>
                <w:rFonts w:ascii="Times New Roman" w:hAnsi="Times New Roman" w:cs="Times New Roman"/>
                <w:bCs/>
                <w:szCs w:val="24"/>
              </w:rPr>
              <w:t xml:space="preserve"> </w:t>
            </w:r>
            <w:bookmarkStart w:id="1" w:name="_GoBack"/>
            <w:bookmarkEnd w:id="1"/>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F6108E"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F6108E"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12"/>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08E" w:rsidRDefault="00F6108E" w:rsidP="00C240E4">
      <w:pPr>
        <w:spacing w:after="0" w:line="240" w:lineRule="auto"/>
      </w:pPr>
      <w:r>
        <w:separator/>
      </w:r>
    </w:p>
  </w:endnote>
  <w:endnote w:type="continuationSeparator" w:id="0">
    <w:p w:rsidR="00F6108E" w:rsidRDefault="00F6108E"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201EC7">
              <w:rPr>
                <w:b/>
                <w:bCs/>
                <w:i/>
                <w:noProof/>
                <w:sz w:val="18"/>
                <w:szCs w:val="18"/>
              </w:rPr>
              <w:t>18</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201EC7">
              <w:rPr>
                <w:b/>
                <w:bCs/>
                <w:i/>
                <w:noProof/>
                <w:sz w:val="18"/>
                <w:szCs w:val="18"/>
              </w:rPr>
              <w:t>20</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08E" w:rsidRDefault="00F6108E" w:rsidP="00C240E4">
      <w:pPr>
        <w:spacing w:after="0" w:line="240" w:lineRule="auto"/>
      </w:pPr>
      <w:r>
        <w:separator/>
      </w:r>
    </w:p>
  </w:footnote>
  <w:footnote w:type="continuationSeparator" w:id="0">
    <w:p w:rsidR="00F6108E" w:rsidRDefault="00F6108E"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proofErr w:type="gramStart"/>
      <w:r w:rsidRPr="006F3484">
        <w:t>D.Lgs</w:t>
      </w:r>
      <w:proofErr w:type="gramEnd"/>
      <w:r w:rsidRPr="006F3484">
        <w:t>.</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0" w:name="x_1973_0043"/>
      <w:r w:rsidRPr="006F3484">
        <w:t>dall</w:t>
      </w:r>
      <w:bookmarkEnd w:id="0"/>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proofErr w:type="gramStart"/>
      <w:r w:rsidRPr="006F3484">
        <w:t>D.Lgs</w:t>
      </w:r>
      <w:proofErr w:type="gramEnd"/>
      <w:r w:rsidRPr="006F3484">
        <w:t>.</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proofErr w:type="gramStart"/>
      <w:r w:rsidRPr="00937770">
        <w:t>D.Lgs</w:t>
      </w:r>
      <w:proofErr w:type="spellEnd"/>
      <w:proofErr w:type="gram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1F10"/>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01EC7"/>
    <w:rsid w:val="00222892"/>
    <w:rsid w:val="00236F9A"/>
    <w:rsid w:val="002374AC"/>
    <w:rsid w:val="0024743F"/>
    <w:rsid w:val="00253624"/>
    <w:rsid w:val="00256DE1"/>
    <w:rsid w:val="00277661"/>
    <w:rsid w:val="00282653"/>
    <w:rsid w:val="0028670F"/>
    <w:rsid w:val="002B3E5D"/>
    <w:rsid w:val="002C3169"/>
    <w:rsid w:val="002C5AEE"/>
    <w:rsid w:val="002D2CC7"/>
    <w:rsid w:val="002D31B9"/>
    <w:rsid w:val="002D3F72"/>
    <w:rsid w:val="002D5B1C"/>
    <w:rsid w:val="002F079D"/>
    <w:rsid w:val="002F23EC"/>
    <w:rsid w:val="002F3846"/>
    <w:rsid w:val="002F7381"/>
    <w:rsid w:val="002F7ACB"/>
    <w:rsid w:val="00301EA3"/>
    <w:rsid w:val="0032016E"/>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05413"/>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3E88"/>
    <w:rsid w:val="005F55C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27A7C"/>
    <w:rsid w:val="00845639"/>
    <w:rsid w:val="00853FFF"/>
    <w:rsid w:val="008556A8"/>
    <w:rsid w:val="008577B7"/>
    <w:rsid w:val="00872DE5"/>
    <w:rsid w:val="008779FE"/>
    <w:rsid w:val="00881915"/>
    <w:rsid w:val="00882C3C"/>
    <w:rsid w:val="00885246"/>
    <w:rsid w:val="008904F0"/>
    <w:rsid w:val="00893A2B"/>
    <w:rsid w:val="00896A4E"/>
    <w:rsid w:val="008A38C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C6A6F"/>
    <w:rsid w:val="009D1ACA"/>
    <w:rsid w:val="009E4452"/>
    <w:rsid w:val="009E612A"/>
    <w:rsid w:val="009F0CF0"/>
    <w:rsid w:val="00A0308D"/>
    <w:rsid w:val="00A134B8"/>
    <w:rsid w:val="00A14CE9"/>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747AB"/>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071F3"/>
    <w:rsid w:val="00F20AD6"/>
    <w:rsid w:val="00F31FE7"/>
    <w:rsid w:val="00F35B39"/>
    <w:rsid w:val="00F55101"/>
    <w:rsid w:val="00F60B8E"/>
    <w:rsid w:val="00F610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C48F1"/>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 w:type="character" w:customStyle="1" w:styleId="CharacterStyle2">
    <w:name w:val="Character Style 2"/>
    <w:qFormat/>
    <w:rsid w:val="00C747A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4256344">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1990_0055.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dd910a-ac63-4b31-8f8b-393388c9c55a">
      <Terms xmlns="http://schemas.microsoft.com/office/infopath/2007/PartnerControls"/>
    </lcf76f155ced4ddcb4097134ff3c332f>
    <TaxCatchAll xmlns="1c4409b2-fec7-4be4-a1e9-3f21cb5624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7C0B19A92910746B2C768BAA746494C" ma:contentTypeVersion="8" ma:contentTypeDescription="Creare un nuovo documento." ma:contentTypeScope="" ma:versionID="e6ce3af14d788815ffb282fb4e026c26">
  <xsd:schema xmlns:xsd="http://www.w3.org/2001/XMLSchema" xmlns:xs="http://www.w3.org/2001/XMLSchema" xmlns:p="http://schemas.microsoft.com/office/2006/metadata/properties" xmlns:ns2="fcdd910a-ac63-4b31-8f8b-393388c9c55a" xmlns:ns3="1c4409b2-fec7-4be4-a1e9-3f21cb56249c" targetNamespace="http://schemas.microsoft.com/office/2006/metadata/properties" ma:root="true" ma:fieldsID="7f7bdd1e1810a379bb99905323db21bb" ns2:_="" ns3:_="">
    <xsd:import namespace="fcdd910a-ac63-4b31-8f8b-393388c9c55a"/>
    <xsd:import namespace="1c4409b2-fec7-4be4-a1e9-3f21cb5624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d910a-ac63-4b31-8f8b-393388c9c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9f51ef13-957e-42c8-be8f-50d222a334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4409b2-fec7-4be4-a1e9-3f21cb5624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bcc467-3bd7-4c2f-aa9a-384fdc6b182f}" ma:internalName="TaxCatchAll" ma:showField="CatchAllData" ma:web="1c4409b2-fec7-4be4-a1e9-3f21cb562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3336B-CC96-4680-A176-E900862C8082}">
  <ds:schemaRefs>
    <ds:schemaRef ds:uri="http://schemas.microsoft.com/sharepoint/v3/contenttype/forms"/>
  </ds:schemaRefs>
</ds:datastoreItem>
</file>

<file path=customXml/itemProps2.xml><?xml version="1.0" encoding="utf-8"?>
<ds:datastoreItem xmlns:ds="http://schemas.openxmlformats.org/officeDocument/2006/customXml" ds:itemID="{761B7C52-9488-4CA3-B790-7DC3B0B7E0B7}">
  <ds:schemaRefs>
    <ds:schemaRef ds:uri="http://schemas.microsoft.com/office/2006/metadata/properties"/>
    <ds:schemaRef ds:uri="http://schemas.microsoft.com/office/infopath/2007/PartnerControls"/>
    <ds:schemaRef ds:uri="fcdd910a-ac63-4b31-8f8b-393388c9c55a"/>
    <ds:schemaRef ds:uri="1c4409b2-fec7-4be4-a1e9-3f21cb56249c"/>
  </ds:schemaRefs>
</ds:datastoreItem>
</file>

<file path=customXml/itemProps3.xml><?xml version="1.0" encoding="utf-8"?>
<ds:datastoreItem xmlns:ds="http://schemas.openxmlformats.org/officeDocument/2006/customXml" ds:itemID="{428121DE-3F97-4A7B-8A01-35C834D1B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dd910a-ac63-4b31-8f8b-393388c9c55a"/>
    <ds:schemaRef ds:uri="1c4409b2-fec7-4be4-a1e9-3f21cb562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83257-5DCA-4C5D-AF67-968E21EA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4588</Words>
  <Characters>26155</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Acer</cp:lastModifiedBy>
  <cp:revision>29</cp:revision>
  <cp:lastPrinted>2021-12-22T12:51:00Z</cp:lastPrinted>
  <dcterms:created xsi:type="dcterms:W3CDTF">2018-05-23T12:40:00Z</dcterms:created>
  <dcterms:modified xsi:type="dcterms:W3CDTF">2023-06-23T15:31:00Z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0x01010057C0B19A92910746B2C768BAA746494C</vt:lpwstr>
  </property>
</Properties>
</file>