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B04" w:rsidRDefault="003D7CBE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color w:val="000000"/>
          <w:sz w:val="44"/>
          <w:szCs w:val="44"/>
          <w:u w:val="single"/>
        </w:rPr>
      </w:pPr>
      <w:r>
        <w:rPr>
          <w:rFonts w:ascii="Helvetica" w:hAnsi="Helvetica" w:cs="Helvetica"/>
          <w:b/>
          <w:color w:val="000000"/>
          <w:sz w:val="44"/>
          <w:szCs w:val="44"/>
          <w:u w:val="single"/>
        </w:rPr>
        <w:t xml:space="preserve">COMPUTO METRICO ESTIMATIVO </w:t>
      </w:r>
    </w:p>
    <w:p w:rsidR="00DF0B04" w:rsidRDefault="00DF0B04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</w:p>
    <w:p w:rsidR="00DF0B04" w:rsidRDefault="003D7CBE">
      <w:pPr>
        <w:pStyle w:val="Paragrafoelenco"/>
        <w:spacing w:line="276" w:lineRule="auto"/>
        <w:ind w:left="1418" w:hanging="992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t>Oggetto:</w:t>
      </w:r>
      <w:r>
        <w:rPr>
          <w:b/>
        </w:rPr>
        <w:t xml:space="preserve"> </w:t>
      </w:r>
      <w:bookmarkStart w:id="0" w:name="_Hlk80697495"/>
      <w:bookmarkStart w:id="1" w:name="_Hlk107994322"/>
      <w:bookmarkStart w:id="2" w:name="OLE_LINK5"/>
      <w:bookmarkStart w:id="3" w:name="OLE_LINK6"/>
      <w:bookmarkStart w:id="4" w:name="OLE_LINK7"/>
      <w:r>
        <w:rPr>
          <w:rFonts w:ascii="Calibri" w:eastAsia="Calibri" w:hAnsi="Calibri" w:cs="Arial"/>
          <w:b/>
          <w:sz w:val="22"/>
          <w:szCs w:val="22"/>
          <w:lang w:eastAsia="en-US"/>
        </w:rPr>
        <w:t>Lavori di “Rifacimento dell’impermeabilizzazione del terrazzo con guaina bituminosa, c/o il c.f. F1 del P.O. di Ariano I. (AV)”.</w:t>
      </w:r>
      <w:r w:rsidR="001C4251">
        <w:rPr>
          <w:rFonts w:ascii="Calibri" w:eastAsia="Calibri" w:hAnsi="Calibri" w:cs="Arial"/>
          <w:b/>
          <w:sz w:val="22"/>
          <w:szCs w:val="22"/>
          <w:lang w:eastAsia="en-US"/>
        </w:rPr>
        <w:t xml:space="preserve"> CIG: Z2C38514F0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DF0B04" w:rsidRDefault="003D7CBE">
      <w:pPr>
        <w:pStyle w:val="Titolo"/>
        <w:spacing w:after="120"/>
        <w:ind w:left="486" w:right="9" w:hanging="36"/>
        <w:rPr>
          <w:rFonts w:ascii="Calibri" w:hAnsi="Calibri"/>
          <w:b w:val="0"/>
          <w:i/>
          <w:sz w:val="20"/>
          <w:szCs w:val="20"/>
        </w:rPr>
      </w:pPr>
      <w:r>
        <w:rPr>
          <w:rFonts w:ascii="Calibri" w:hAnsi="Calibri"/>
          <w:b w:val="0"/>
          <w:i/>
          <w:sz w:val="22"/>
          <w:szCs w:val="22"/>
        </w:rPr>
        <w:t xml:space="preserve">(Procedura ai </w:t>
      </w:r>
      <w:r>
        <w:rPr>
          <w:rFonts w:ascii="Calibri" w:hAnsi="Calibri"/>
          <w:b w:val="0"/>
          <w:i/>
          <w:sz w:val="22"/>
          <w:szCs w:val="22"/>
        </w:rPr>
        <w:t>sensi del D. lgs n</w:t>
      </w:r>
      <w:proofErr w:type="gramStart"/>
      <w:r>
        <w:rPr>
          <w:rFonts w:ascii="Calibri" w:hAnsi="Calibri"/>
          <w:b w:val="0"/>
          <w:i/>
          <w:sz w:val="22"/>
          <w:szCs w:val="22"/>
        </w:rPr>
        <w:t>°  50</w:t>
      </w:r>
      <w:proofErr w:type="gramEnd"/>
      <w:r>
        <w:rPr>
          <w:rFonts w:ascii="Calibri" w:hAnsi="Calibri"/>
          <w:b w:val="0"/>
          <w:i/>
          <w:sz w:val="22"/>
          <w:szCs w:val="22"/>
        </w:rPr>
        <w:t xml:space="preserve"> art. 36 del 18 aprile 2016) </w:t>
      </w:r>
    </w:p>
    <w:p w:rsidR="00DF0B04" w:rsidRDefault="00DF0B04">
      <w:pPr>
        <w:pStyle w:val="Titolo"/>
        <w:spacing w:after="120"/>
        <w:ind w:right="9"/>
        <w:jc w:val="left"/>
        <w:rPr>
          <w:rFonts w:ascii="Calibri" w:hAnsi="Calibri"/>
          <w:b w:val="0"/>
          <w:iCs/>
          <w:sz w:val="20"/>
          <w:szCs w:val="20"/>
        </w:rPr>
      </w:pPr>
    </w:p>
    <w:p w:rsidR="00DF0B04" w:rsidRDefault="00DF0B04">
      <w:pPr>
        <w:pStyle w:val="Titolo"/>
        <w:spacing w:after="120"/>
        <w:ind w:right="9"/>
        <w:jc w:val="left"/>
        <w:rPr>
          <w:rFonts w:ascii="Calibri" w:hAnsi="Calibri"/>
          <w:b w:val="0"/>
          <w:i/>
          <w:sz w:val="20"/>
          <w:szCs w:val="20"/>
        </w:rPr>
      </w:pP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5670"/>
        <w:gridCol w:w="567"/>
        <w:gridCol w:w="709"/>
        <w:gridCol w:w="567"/>
        <w:gridCol w:w="850"/>
      </w:tblGrid>
      <w:tr w:rsidR="00DF0B04">
        <w:tc>
          <w:tcPr>
            <w:tcW w:w="1384" w:type="dxa"/>
          </w:tcPr>
          <w:p w:rsidR="00DF0B04" w:rsidRDefault="003D7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CODICE</w:t>
            </w:r>
          </w:p>
        </w:tc>
        <w:tc>
          <w:tcPr>
            <w:tcW w:w="5670" w:type="dxa"/>
          </w:tcPr>
          <w:p w:rsidR="00DF0B04" w:rsidRDefault="003D7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U.M.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Prez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DF0B04" w:rsidRDefault="003D7CBE">
            <w:pPr>
              <w:ind w:left="-108" w:right="-108" w:firstLine="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Unit.</w:t>
            </w:r>
          </w:p>
        </w:tc>
        <w:tc>
          <w:tcPr>
            <w:tcW w:w="567" w:type="dxa"/>
          </w:tcPr>
          <w:p w:rsidR="00DF0B04" w:rsidRDefault="003D7CBE">
            <w:pPr>
              <w:ind w:right="-108"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Quan</w:t>
            </w:r>
          </w:p>
          <w:p w:rsidR="00DF0B04" w:rsidRDefault="003D7CBE">
            <w:pPr>
              <w:ind w:right="-108" w:hanging="108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tità</w:t>
            </w:r>
            <w:proofErr w:type="spellEnd"/>
          </w:p>
        </w:tc>
        <w:tc>
          <w:tcPr>
            <w:tcW w:w="850" w:type="dxa"/>
          </w:tcPr>
          <w:p w:rsidR="00DF0B04" w:rsidRDefault="003D7CBE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Euro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13" w:hanging="142"/>
              <w:jc w:val="center"/>
              <w:rPr>
                <w:b/>
                <w:sz w:val="20"/>
                <w:szCs w:val="20"/>
              </w:rPr>
            </w:pPr>
            <w:r>
              <w:t>R.02.090.070.b</w:t>
            </w:r>
          </w:p>
        </w:tc>
        <w:tc>
          <w:tcPr>
            <w:tcW w:w="5670" w:type="dxa"/>
          </w:tcPr>
          <w:p w:rsidR="00DF0B04" w:rsidRDefault="003D7CBE">
            <w:pPr>
              <w:ind w:left="-107" w:right="-103"/>
              <w:jc w:val="both"/>
              <w:rPr>
                <w:b/>
                <w:sz w:val="20"/>
                <w:szCs w:val="20"/>
              </w:rPr>
            </w:pPr>
            <w:r>
              <w:t xml:space="preserve">Rimozione di manti impermeabili su superfici orizzontali o inclinate, a qualsiasi altezza, compresi, il calo in basso e avvicinamento al luogo di deposito provvisorio.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t xml:space="preserve">mq 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  <w:rPr>
                <w:b/>
                <w:sz w:val="20"/>
                <w:szCs w:val="20"/>
              </w:rPr>
            </w:pPr>
            <w:r>
              <w:t>5.67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firstLine="108"/>
            </w:pPr>
            <w:r>
              <w:t>900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5103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13" w:hanging="142"/>
              <w:jc w:val="center"/>
            </w:pPr>
            <w:r>
              <w:t>E.07.010.060.a</w:t>
            </w:r>
          </w:p>
        </w:tc>
        <w:tc>
          <w:tcPr>
            <w:tcW w:w="5670" w:type="dxa"/>
          </w:tcPr>
          <w:p w:rsidR="00DF0B04" w:rsidRDefault="003D7CBE">
            <w:pPr>
              <w:ind w:left="-107" w:right="-103"/>
              <w:jc w:val="both"/>
            </w:pPr>
            <w:r>
              <w:t xml:space="preserve">Malta autolivellante dello spessore non inferiore a 1,5 mm per lisciatura del piano superiore di sottofondi preesistenti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</w:pPr>
            <w:r>
              <w:t xml:space="preserve">mq 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</w:pPr>
            <w:r>
              <w:t>5.26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firstLine="108"/>
            </w:pPr>
            <w:r>
              <w:t>400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2104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13" w:hanging="142"/>
              <w:jc w:val="center"/>
            </w:pPr>
            <w:r>
              <w:t>E.11.040.015.b</w:t>
            </w:r>
          </w:p>
        </w:tc>
        <w:tc>
          <w:tcPr>
            <w:tcW w:w="5670" w:type="dxa"/>
          </w:tcPr>
          <w:p w:rsidR="00DF0B04" w:rsidRDefault="003D7CBE">
            <w:pPr>
              <w:ind w:left="-107" w:right="-103"/>
              <w:jc w:val="both"/>
            </w:pPr>
            <w:r>
              <w:t xml:space="preserve">Bocchettoni in gomma EPDM a flangia quadrata intaccata e cordolo di altezza 200 mm, conico nella parte inferiore e cilindrico nella parte superiore, posto in opera su foro già predisposto. Diametro da 120÷150 mm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</w:pPr>
            <w:r>
              <w:t xml:space="preserve">cad. 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</w:pPr>
            <w:r>
              <w:t>17.93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firstLine="108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179,30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13" w:hanging="142"/>
              <w:jc w:val="center"/>
            </w:pPr>
            <w:r>
              <w:rPr>
                <w:rFonts w:cs="Helvetica"/>
              </w:rPr>
              <w:t>E.12.060.010.a</w:t>
            </w:r>
          </w:p>
        </w:tc>
        <w:tc>
          <w:tcPr>
            <w:tcW w:w="5670" w:type="dxa"/>
          </w:tcPr>
          <w:p w:rsidR="00DF0B04" w:rsidRDefault="003D7CBE">
            <w:pPr>
              <w:ind w:left="-74" w:right="-103"/>
              <w:jc w:val="both"/>
            </w:pPr>
            <w:r>
              <w:rPr>
                <w:rFonts w:cs="Helvetica"/>
              </w:rPr>
              <w:t xml:space="preserve">Preparazione del piano di posa di manti impermeabili con una mano di primer bituminoso a solvente in quantità non inferiore a 300g/m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</w:pPr>
            <w:r>
              <w:rPr>
                <w:rFonts w:cs="Helvetica"/>
              </w:rPr>
              <w:t xml:space="preserve">mq 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</w:pPr>
            <w:r>
              <w:t>2.00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firstLine="108"/>
            </w:pPr>
            <w:r>
              <w:t>900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1800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13" w:hanging="142"/>
              <w:jc w:val="center"/>
            </w:pPr>
            <w:r>
              <w:t>E.12.010.020.a</w:t>
            </w:r>
          </w:p>
        </w:tc>
        <w:tc>
          <w:tcPr>
            <w:tcW w:w="5670" w:type="dxa"/>
          </w:tcPr>
          <w:p w:rsidR="00DF0B04" w:rsidRDefault="003D7CBE">
            <w:pPr>
              <w:ind w:left="-107" w:right="-103"/>
              <w:jc w:val="both"/>
            </w:pPr>
            <w:r>
              <w:t xml:space="preserve">Membrana impermeabile bituminosa a base di polimeri </w:t>
            </w:r>
            <w:proofErr w:type="spellStart"/>
            <w:r>
              <w:t>eterofasici</w:t>
            </w:r>
            <w:proofErr w:type="spellEnd"/>
            <w:r>
              <w:t xml:space="preserve"> in resine </w:t>
            </w:r>
            <w:proofErr w:type="spellStart"/>
            <w:r>
              <w:t>metalloceniche</w:t>
            </w:r>
            <w:proofErr w:type="spellEnd"/>
            <w:r>
              <w:t xml:space="preserve"> con peso molecolare selezionato flessibilità a freddo - 30°C dopo invecchiamento -20°C, armatura tri-strato costituita da rete di vetro inserita in due TNT di poliestere da filo continuo, applicata a fiamma con sovrapposizione dei sormonti di 10 cm in sen</w:t>
            </w:r>
            <w:r>
              <w:t xml:space="preserve">so longitudinale e di 15 cm alle testate dei teli, previo trattamento, se necessario, con primer bituminoso da pagarsi a parte, su superfici piane, curve e inclinate. Spessore 4 mm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</w:pPr>
            <w:r>
              <w:t>mq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</w:pPr>
            <w:r>
              <w:t>24.45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firstLine="108"/>
            </w:pPr>
            <w:r>
              <w:t>900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22005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right="-108" w:hanging="142"/>
              <w:jc w:val="center"/>
              <w:rPr>
                <w:rFonts w:cs="Helvetica"/>
              </w:rPr>
            </w:pPr>
            <w:r>
              <w:rPr>
                <w:rFonts w:cs="Helvetica"/>
              </w:rPr>
              <w:t>E.12.060.040.a</w:t>
            </w:r>
          </w:p>
        </w:tc>
        <w:tc>
          <w:tcPr>
            <w:tcW w:w="5670" w:type="dxa"/>
          </w:tcPr>
          <w:p w:rsidR="00DF0B04" w:rsidRDefault="003D7CBE">
            <w:pPr>
              <w:autoSpaceDE w:val="0"/>
              <w:autoSpaceDN w:val="0"/>
              <w:adjustRightInd w:val="0"/>
              <w:ind w:left="-107" w:right="-103"/>
              <w:jc w:val="both"/>
              <w:rPr>
                <w:rFonts w:cs="Helvetica"/>
              </w:rPr>
            </w:pPr>
            <w:r>
              <w:rPr>
                <w:rFonts w:cs="Helvetica"/>
              </w:rPr>
              <w:t xml:space="preserve">Protezione delle stratificazioni o manti impermeabili con vernici protettive, data in opera in due successive mani, a base di resine acriliche in dispersione acquosa, rossa o grigia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 xml:space="preserve">mq 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firstLine="108"/>
              <w:rPr>
                <w:rFonts w:cs="Helvetica"/>
              </w:rPr>
            </w:pPr>
            <w:r>
              <w:rPr>
                <w:rFonts w:cs="Helvetica"/>
              </w:rPr>
              <w:t>3.26</w:t>
            </w:r>
          </w:p>
        </w:tc>
        <w:tc>
          <w:tcPr>
            <w:tcW w:w="567" w:type="dxa"/>
          </w:tcPr>
          <w:p w:rsidR="00DF0B04" w:rsidRDefault="003D7CBE">
            <w:pPr>
              <w:ind w:right="-108" w:hanging="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>900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2934</w:t>
            </w:r>
          </w:p>
        </w:tc>
      </w:tr>
      <w:tr w:rsidR="00DF0B04">
        <w:tc>
          <w:tcPr>
            <w:tcW w:w="1384" w:type="dxa"/>
          </w:tcPr>
          <w:p w:rsidR="00DF0B04" w:rsidRDefault="003D7CBE">
            <w:pPr>
              <w:ind w:left="-142" w:right="-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>NP1</w:t>
            </w:r>
          </w:p>
        </w:tc>
        <w:tc>
          <w:tcPr>
            <w:tcW w:w="5670" w:type="dxa"/>
          </w:tcPr>
          <w:p w:rsidR="00DF0B04" w:rsidRDefault="003D7CBE">
            <w:pPr>
              <w:autoSpaceDE w:val="0"/>
              <w:autoSpaceDN w:val="0"/>
              <w:adjustRightInd w:val="0"/>
              <w:ind w:left="-74" w:hanging="33"/>
              <w:rPr>
                <w:rFonts w:cs="Helvetica"/>
              </w:rPr>
            </w:pPr>
            <w:r>
              <w:rPr>
                <w:rFonts w:cs="Helvetica"/>
              </w:rPr>
              <w:t xml:space="preserve">Rimozione/sollevamento, riposizionamento e ripristino delle condotte aerauliche  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hanging="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 xml:space="preserve">   corpo</w:t>
            </w:r>
          </w:p>
        </w:tc>
        <w:tc>
          <w:tcPr>
            <w:tcW w:w="709" w:type="dxa"/>
          </w:tcPr>
          <w:p w:rsidR="00DF0B04" w:rsidRDefault="003D7CBE">
            <w:pPr>
              <w:ind w:left="-108" w:right="-108" w:hanging="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>1</w:t>
            </w:r>
          </w:p>
        </w:tc>
        <w:tc>
          <w:tcPr>
            <w:tcW w:w="567" w:type="dxa"/>
          </w:tcPr>
          <w:p w:rsidR="00DF0B04" w:rsidRDefault="003D7CBE">
            <w:pPr>
              <w:ind w:left="-108" w:right="-108" w:hanging="108"/>
              <w:jc w:val="center"/>
              <w:rPr>
                <w:rFonts w:cs="Helvetica"/>
              </w:rPr>
            </w:pPr>
            <w:r>
              <w:rPr>
                <w:rFonts w:cs="Helvetica"/>
              </w:rPr>
              <w:t>2000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right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2000,00</w:t>
            </w:r>
          </w:p>
        </w:tc>
      </w:tr>
      <w:tr w:rsidR="00DF0B04">
        <w:tc>
          <w:tcPr>
            <w:tcW w:w="8897" w:type="dxa"/>
            <w:gridSpan w:val="5"/>
          </w:tcPr>
          <w:p w:rsidR="00DF0B04" w:rsidRDefault="003D7CBE">
            <w:pPr>
              <w:rPr>
                <w:b/>
              </w:rPr>
            </w:pPr>
            <w:r>
              <w:rPr>
                <w:b/>
              </w:rPr>
              <w:t xml:space="preserve">Lavori a base d’asta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center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36125,30</w:t>
            </w:r>
          </w:p>
        </w:tc>
      </w:tr>
      <w:tr w:rsidR="00DF0B04">
        <w:tc>
          <w:tcPr>
            <w:tcW w:w="8897" w:type="dxa"/>
            <w:gridSpan w:val="5"/>
          </w:tcPr>
          <w:p w:rsidR="00DF0B04" w:rsidRDefault="003D7CBE">
            <w:pPr>
              <w:rPr>
                <w:b/>
              </w:rPr>
            </w:pPr>
            <w:r>
              <w:rPr>
                <w:b/>
              </w:rPr>
              <w:t>One</w:t>
            </w:r>
            <w:r>
              <w:rPr>
                <w:b/>
              </w:rPr>
              <w:t xml:space="preserve">ri per la sicurezza non soggetti a ribasso  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center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1806,26</w:t>
            </w:r>
          </w:p>
        </w:tc>
      </w:tr>
      <w:tr w:rsidR="00DF0B04">
        <w:tc>
          <w:tcPr>
            <w:tcW w:w="8897" w:type="dxa"/>
            <w:gridSpan w:val="5"/>
          </w:tcPr>
          <w:p w:rsidR="00DF0B04" w:rsidRDefault="003D7CBE">
            <w:pPr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850" w:type="dxa"/>
          </w:tcPr>
          <w:p w:rsidR="00DF0B04" w:rsidRDefault="003D7CBE">
            <w:pPr>
              <w:ind w:left="-108" w:right="-108"/>
              <w:jc w:val="center"/>
              <w:rPr>
                <w:rFonts w:cs="Helvetica"/>
                <w:b/>
                <w:bCs/>
              </w:rPr>
            </w:pPr>
            <w:r>
              <w:rPr>
                <w:rFonts w:cs="Helvetica"/>
                <w:b/>
                <w:bCs/>
              </w:rPr>
              <w:t>37931,56</w:t>
            </w:r>
          </w:p>
        </w:tc>
      </w:tr>
    </w:tbl>
    <w:p w:rsidR="00DF0B04" w:rsidRDefault="00DF0B04"/>
    <w:p w:rsidR="00DF0B04" w:rsidRDefault="00DF0B04"/>
    <w:sectPr w:rsidR="00DF0B04">
      <w:headerReference w:type="default" r:id="rId8"/>
      <w:footerReference w:type="default" r:id="rId9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CBE" w:rsidRDefault="003D7CBE">
      <w:pPr>
        <w:spacing w:after="0" w:line="240" w:lineRule="auto"/>
      </w:pPr>
      <w:r>
        <w:separator/>
      </w:r>
    </w:p>
  </w:endnote>
  <w:endnote w:type="continuationSeparator" w:id="0">
    <w:p w:rsidR="003D7CBE" w:rsidRDefault="003D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04" w:rsidRDefault="00DF0B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CBE" w:rsidRDefault="003D7CBE">
      <w:pPr>
        <w:spacing w:after="0" w:line="240" w:lineRule="auto"/>
      </w:pPr>
      <w:r>
        <w:separator/>
      </w:r>
    </w:p>
  </w:footnote>
  <w:footnote w:type="continuationSeparator" w:id="0">
    <w:p w:rsidR="003D7CBE" w:rsidRDefault="003D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B04" w:rsidRDefault="003D7CBE">
    <w:pPr>
      <w:pStyle w:val="Intestazione"/>
      <w:tabs>
        <w:tab w:val="clear" w:pos="4819"/>
        <w:tab w:val="clear" w:pos="9638"/>
        <w:tab w:val="left" w:pos="8525"/>
      </w:tabs>
      <w:rPr>
        <w:color w:val="4F81BD" w:themeColor="accent1"/>
      </w:rPr>
    </w:pPr>
    <w:r>
      <w:tab/>
    </w:r>
    <w:r>
      <w:rPr>
        <w:color w:val="0070C0"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1E29"/>
    <w:multiLevelType w:val="hybridMultilevel"/>
    <w:tmpl w:val="028275B6"/>
    <w:lvl w:ilvl="0" w:tplc="5E6CDE10">
      <w:start w:val="1"/>
      <w:numFmt w:val="lowerLetter"/>
      <w:lvlText w:val="%1)"/>
      <w:lvlJc w:val="left"/>
      <w:pPr>
        <w:ind w:left="928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314A3E"/>
    <w:multiLevelType w:val="hybridMultilevel"/>
    <w:tmpl w:val="0DF0EAFE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2018" w:hanging="360"/>
      </w:pPr>
    </w:lvl>
    <w:lvl w:ilvl="2" w:tplc="0410001B" w:tentative="1">
      <w:start w:val="1"/>
      <w:numFmt w:val="lowerRoman"/>
      <w:lvlText w:val="%3."/>
      <w:lvlJc w:val="right"/>
      <w:pPr>
        <w:ind w:left="2738" w:hanging="180"/>
      </w:pPr>
    </w:lvl>
    <w:lvl w:ilvl="3" w:tplc="0410000F" w:tentative="1">
      <w:start w:val="1"/>
      <w:numFmt w:val="decimal"/>
      <w:lvlText w:val="%4."/>
      <w:lvlJc w:val="left"/>
      <w:pPr>
        <w:ind w:left="3458" w:hanging="360"/>
      </w:pPr>
    </w:lvl>
    <w:lvl w:ilvl="4" w:tplc="04100019" w:tentative="1">
      <w:start w:val="1"/>
      <w:numFmt w:val="lowerLetter"/>
      <w:lvlText w:val="%5."/>
      <w:lvlJc w:val="left"/>
      <w:pPr>
        <w:ind w:left="4178" w:hanging="360"/>
      </w:pPr>
    </w:lvl>
    <w:lvl w:ilvl="5" w:tplc="0410001B" w:tentative="1">
      <w:start w:val="1"/>
      <w:numFmt w:val="lowerRoman"/>
      <w:lvlText w:val="%6."/>
      <w:lvlJc w:val="right"/>
      <w:pPr>
        <w:ind w:left="4898" w:hanging="180"/>
      </w:pPr>
    </w:lvl>
    <w:lvl w:ilvl="6" w:tplc="0410000F" w:tentative="1">
      <w:start w:val="1"/>
      <w:numFmt w:val="decimal"/>
      <w:lvlText w:val="%7."/>
      <w:lvlJc w:val="left"/>
      <w:pPr>
        <w:ind w:left="5618" w:hanging="360"/>
      </w:pPr>
    </w:lvl>
    <w:lvl w:ilvl="7" w:tplc="04100019" w:tentative="1">
      <w:start w:val="1"/>
      <w:numFmt w:val="lowerLetter"/>
      <w:lvlText w:val="%8."/>
      <w:lvlJc w:val="left"/>
      <w:pPr>
        <w:ind w:left="6338" w:hanging="360"/>
      </w:pPr>
    </w:lvl>
    <w:lvl w:ilvl="8" w:tplc="0410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" w15:restartNumberingAfterBreak="0">
    <w:nsid w:val="167424EC"/>
    <w:multiLevelType w:val="hybridMultilevel"/>
    <w:tmpl w:val="77AA1610"/>
    <w:lvl w:ilvl="0" w:tplc="0410000B">
      <w:start w:val="1"/>
      <w:numFmt w:val="bullet"/>
      <w:lvlText w:val=""/>
      <w:lvlJc w:val="left"/>
      <w:pPr>
        <w:ind w:left="15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3" w15:restartNumberingAfterBreak="0">
    <w:nsid w:val="39720508"/>
    <w:multiLevelType w:val="hybridMultilevel"/>
    <w:tmpl w:val="AFAE38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B26DE"/>
    <w:multiLevelType w:val="hybridMultilevel"/>
    <w:tmpl w:val="CD5E4B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27333"/>
    <w:multiLevelType w:val="hybridMultilevel"/>
    <w:tmpl w:val="C8285FDA"/>
    <w:lvl w:ilvl="0" w:tplc="74EE36C4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04"/>
    <w:rsid w:val="001C4251"/>
    <w:rsid w:val="003D7CBE"/>
    <w:rsid w:val="00DF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BB867"/>
  <w15:docId w15:val="{48B24D9F-8321-478F-BB7F-C70BDF36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Testodelblocco">
    <w:name w:val="Block Text"/>
    <w:basedOn w:val="Normale"/>
    <w:pPr>
      <w:spacing w:after="0" w:line="480" w:lineRule="auto"/>
      <w:ind w:left="720" w:right="816" w:firstLine="54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Enfasicorsivo">
    <w:name w:val="Emphasis"/>
    <w:basedOn w:val="Carpredefinitoparagrafo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6CD83-071D-49E7-BFAB-E9CAB4C7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Carmine</dc:creator>
  <cp:lastModifiedBy>Giuseppe Grasso</cp:lastModifiedBy>
  <cp:revision>3</cp:revision>
  <cp:lastPrinted>2022-10-26T10:57:00Z</cp:lastPrinted>
  <dcterms:created xsi:type="dcterms:W3CDTF">2022-09-26T10:48:00Z</dcterms:created>
  <dcterms:modified xsi:type="dcterms:W3CDTF">2022-10-26T10:58:00Z</dcterms:modified>
</cp:coreProperties>
</file>